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4443"/>
        <w:gridCol w:w="4520"/>
      </w:tblGrid>
      <w:tr w:rsidR="00AB0C5D" w:rsidRPr="00D41825" w14:paraId="3114F078" w14:textId="77777777" w:rsidTr="005154B8">
        <w:tc>
          <w:tcPr>
            <w:tcW w:w="4513" w:type="dxa"/>
          </w:tcPr>
          <w:p w14:paraId="754C33C5" w14:textId="12B06A73" w:rsidR="00AB0C5D" w:rsidRPr="00651473" w:rsidRDefault="00651473" w:rsidP="005154B8">
            <w:pPr>
              <w:spacing w:after="150" w:line="240" w:lineRule="auto"/>
              <w:jc w:val="left"/>
              <w:rPr>
                <w:rFonts w:eastAsia="Times New Roman"/>
                <w:b/>
                <w:bCs/>
                <w:szCs w:val="28"/>
                <w:lang w:val="en-US" w:eastAsia="vi-VN"/>
              </w:rPr>
            </w:pPr>
            <w:r>
              <w:rPr>
                <w:rFonts w:eastAsia="Times New Roman"/>
                <w:b/>
                <w:noProof/>
                <w:sz w:val="20"/>
                <w:szCs w:val="28"/>
                <w:lang w:val="en-US" w:eastAsia="vi-VN"/>
              </w:rPr>
              <mc:AlternateContent>
                <mc:Choice Requires="wps">
                  <w:drawing>
                    <wp:anchor distT="0" distB="0" distL="114300" distR="114300" simplePos="0" relativeHeight="251658240" behindDoc="0" locked="0" layoutInCell="1" allowOverlap="1" wp14:anchorId="08741BFB" wp14:editId="63C7B581">
                      <wp:simplePos x="0" y="0"/>
                      <wp:positionH relativeFrom="column">
                        <wp:posOffset>779145</wp:posOffset>
                      </wp:positionH>
                      <wp:positionV relativeFrom="paragraph">
                        <wp:posOffset>250190</wp:posOffset>
                      </wp:positionV>
                      <wp:extent cx="809625" cy="9525"/>
                      <wp:effectExtent l="5715" t="6985" r="1333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7C6E9" id="_x0000_t32" coordsize="21600,21600" o:spt="32" o:oned="t" path="m,l21600,21600e" filled="f">
                      <v:path arrowok="t" fillok="f" o:connecttype="none"/>
                      <o:lock v:ext="edit" shapetype="t"/>
                    </v:shapetype>
                    <v:shape id="Straight Arrow Connector 1" o:spid="_x0000_s1026" type="#_x0000_t32" style="position:absolute;margin-left:61.35pt;margin-top:19.7pt;width:6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"/>
                  </w:pict>
                </mc:Fallback>
              </mc:AlternateContent>
            </w:r>
            <w:r w:rsidR="00AB0C5D" w:rsidRPr="00651473">
              <w:rPr>
                <w:rFonts w:eastAsia="Times New Roman"/>
                <w:b/>
                <w:bCs/>
                <w:szCs w:val="28"/>
                <w:lang w:val="en-US" w:eastAsia="vi-VN"/>
              </w:rPr>
              <w:t>TRƯỜNG MẦM NON TÂY SƠN</w:t>
            </w:r>
          </w:p>
        </w:tc>
        <w:tc>
          <w:tcPr>
            <w:tcW w:w="4621" w:type="dxa"/>
          </w:tcPr>
          <w:p w14:paraId="076B0E6C" w14:textId="77777777" w:rsidR="00AB0C5D" w:rsidRPr="00651473" w:rsidRDefault="00AB0C5D" w:rsidP="005154B8">
            <w:pPr>
              <w:spacing w:after="150" w:line="240" w:lineRule="auto"/>
              <w:jc w:val="left"/>
              <w:rPr>
                <w:rFonts w:eastAsia="Times New Roman"/>
                <w:b/>
                <w:bCs/>
                <w:szCs w:val="28"/>
                <w:lang w:val="en-US" w:eastAsia="vi-VN"/>
              </w:rPr>
            </w:pPr>
          </w:p>
        </w:tc>
      </w:tr>
    </w:tbl>
    <w:p w14:paraId="0B59FE05" w14:textId="4CDE996B" w:rsidR="00AB0C5D" w:rsidRPr="00651473" w:rsidRDefault="00AB0C5D" w:rsidP="00AB0C5D">
      <w:pPr>
        <w:shd w:val="clear" w:color="auto" w:fill="FFFFFF"/>
        <w:spacing w:before="120" w:after="120" w:line="240" w:lineRule="auto"/>
        <w:jc w:val="left"/>
        <w:rPr>
          <w:rFonts w:eastAsia="Times New Roman"/>
          <w:b/>
          <w:sz w:val="20"/>
          <w:szCs w:val="28"/>
          <w:lang w:val="en-US" w:eastAsia="vi-VN"/>
        </w:rPr>
      </w:pPr>
    </w:p>
    <w:p w14:paraId="29882B25" w14:textId="14533736" w:rsidR="00AB0C5D" w:rsidRDefault="00AB0C5D" w:rsidP="00AB0C5D">
      <w:pPr>
        <w:shd w:val="clear" w:color="auto" w:fill="FFFFFF"/>
        <w:spacing w:before="120" w:after="120" w:line="240" w:lineRule="auto"/>
        <w:jc w:val="center"/>
        <w:rPr>
          <w:rFonts w:eastAsia="Times New Roman"/>
          <w:b/>
          <w:szCs w:val="28"/>
          <w:lang w:val="en-US" w:eastAsia="vi-VN"/>
        </w:rPr>
      </w:pPr>
      <w:r w:rsidRPr="00D41825">
        <w:rPr>
          <w:rFonts w:eastAsia="Times New Roman"/>
          <w:b/>
          <w:szCs w:val="28"/>
          <w:lang w:val="en-US" w:eastAsia="vi-VN"/>
        </w:rPr>
        <w:t>BÀI TUYÊN TRUYỀN</w:t>
      </w:r>
    </w:p>
    <w:p w14:paraId="1672B1CD" w14:textId="23EDA8DB" w:rsidR="00AB0C5D" w:rsidRDefault="00AB0C5D" w:rsidP="00AB0C5D">
      <w:pPr>
        <w:shd w:val="clear" w:color="auto" w:fill="FFFFFF"/>
        <w:spacing w:before="120" w:after="120" w:line="240" w:lineRule="auto"/>
        <w:jc w:val="center"/>
        <w:rPr>
          <w:rFonts w:eastAsia="Times New Roman"/>
          <w:b/>
          <w:szCs w:val="28"/>
          <w:lang w:val="en-US" w:eastAsia="vi-VN"/>
        </w:rPr>
      </w:pPr>
      <w:r>
        <w:rPr>
          <w:rFonts w:eastAsia="Times New Roman"/>
          <w:b/>
          <w:szCs w:val="28"/>
          <w:lang w:val="en-US" w:eastAsia="vi-VN"/>
        </w:rPr>
        <w:t xml:space="preserve"> VỀ N</w:t>
      </w:r>
      <w:r w:rsidR="008C387C">
        <w:rPr>
          <w:rFonts w:eastAsia="Times New Roman"/>
          <w:b/>
          <w:szCs w:val="28"/>
          <w:lang w:val="en-US" w:eastAsia="vi-VN"/>
        </w:rPr>
        <w:t>ỘI</w:t>
      </w:r>
      <w:r>
        <w:rPr>
          <w:rFonts w:eastAsia="Times New Roman"/>
          <w:b/>
          <w:szCs w:val="28"/>
          <w:lang w:val="en-US" w:eastAsia="vi-VN"/>
        </w:rPr>
        <w:t xml:space="preserve"> QUY, NỘI DUNG GIÁO DỤC TRONG NHÀ TRƯỜNG</w:t>
      </w:r>
    </w:p>
    <w:p w14:paraId="62BB035B" w14:textId="1B14A099" w:rsidR="00AB0C5D" w:rsidRPr="00651473" w:rsidRDefault="00AB0C5D" w:rsidP="00AB0C5D">
      <w:pPr>
        <w:shd w:val="clear" w:color="auto" w:fill="FFFFFF"/>
        <w:spacing w:before="120" w:after="120" w:line="240" w:lineRule="auto"/>
        <w:jc w:val="center"/>
        <w:rPr>
          <w:rFonts w:eastAsia="Times New Roman"/>
          <w:b/>
          <w:sz w:val="18"/>
          <w:szCs w:val="28"/>
          <w:lang w:val="en-US" w:eastAsia="vi-VN"/>
        </w:rPr>
      </w:pPr>
    </w:p>
    <w:p w14:paraId="4E84E7E9" w14:textId="49D2163C" w:rsidR="007A2663" w:rsidRPr="00ED5D7D" w:rsidRDefault="007A2663" w:rsidP="00651473">
      <w:pPr>
        <w:shd w:val="clear" w:color="auto" w:fill="FFFFFF"/>
        <w:spacing w:before="120" w:after="120" w:line="276" w:lineRule="auto"/>
        <w:ind w:firstLine="720"/>
        <w:rPr>
          <w:rFonts w:eastAsia="Times New Roman"/>
          <w:bCs/>
          <w:szCs w:val="28"/>
          <w:lang w:val="en-US" w:eastAsia="vi-VN"/>
        </w:rPr>
      </w:pPr>
      <w:r w:rsidRPr="00ED5D7D">
        <w:rPr>
          <w:rFonts w:eastAsia="Times New Roman"/>
          <w:bCs/>
          <w:szCs w:val="28"/>
          <w:lang w:val="en-US" w:eastAsia="vi-VN"/>
        </w:rPr>
        <w:t>Trường mầm non là môi trường giáo dục đầu tiên, đặt nền móng quan trọng cho sự hình thành và phát triển toàn diện của trẻ em. Ở giai đoạn này, mỗi lời nói, hành động, mỗi thói quen sinh hoạt hằng ngày đều có ảnh hưởng sâu sắc đến nhân cách và sự phát triển lâu dài của trẻ. Vì vậy, việc thực hiện tốt nội quy nhà trường và nội dung giáo dục mầm non không chỉ là trách nhiệm của đội ngũ cán bộ, giáo viên mà còn cần sự phối hợp chặt chẽ, đồng hành của các bậc phụ huynh.</w:t>
      </w:r>
    </w:p>
    <w:p w14:paraId="33D1730D" w14:textId="4DD14989" w:rsidR="007A2663" w:rsidRPr="00ED5D7D" w:rsidRDefault="007A2663" w:rsidP="00651473">
      <w:pPr>
        <w:shd w:val="clear" w:color="auto" w:fill="FFFFFF"/>
        <w:spacing w:before="120" w:after="120" w:line="276" w:lineRule="auto"/>
        <w:ind w:firstLine="720"/>
        <w:rPr>
          <w:rFonts w:eastAsia="Times New Roman"/>
          <w:b/>
          <w:szCs w:val="28"/>
          <w:lang w:val="en-US" w:eastAsia="vi-VN"/>
        </w:rPr>
      </w:pPr>
      <w:r w:rsidRPr="00ED5D7D">
        <w:rPr>
          <w:rFonts w:eastAsia="Times New Roman"/>
          <w:b/>
          <w:szCs w:val="28"/>
          <w:lang w:val="en-US" w:eastAsia="vi-VN"/>
        </w:rPr>
        <w:t>1. Ý nghĩa của việc thực hiện nội quy trong trường mầm non</w:t>
      </w:r>
    </w:p>
    <w:p w14:paraId="3F6435A6" w14:textId="70FEDB11" w:rsidR="007A2663" w:rsidRPr="00ED5D7D" w:rsidRDefault="007A2663" w:rsidP="00651473">
      <w:pPr>
        <w:shd w:val="clear" w:color="auto" w:fill="FFFFFF"/>
        <w:spacing w:before="120" w:after="120" w:line="276" w:lineRule="auto"/>
        <w:ind w:firstLine="720"/>
        <w:rPr>
          <w:rFonts w:eastAsia="Times New Roman"/>
          <w:bCs/>
          <w:szCs w:val="28"/>
          <w:lang w:val="en-US" w:eastAsia="vi-VN"/>
        </w:rPr>
      </w:pPr>
      <w:r w:rsidRPr="00ED5D7D">
        <w:rPr>
          <w:rFonts w:eastAsia="Times New Roman"/>
          <w:bCs/>
          <w:szCs w:val="28"/>
          <w:lang w:val="en-US" w:eastAsia="vi-VN"/>
        </w:rPr>
        <w:t>Nội quy nhà trường mầm non được xây dựng nhằm đảm bảo an toàn tuyệt đối cho trẻ, duy trì nề nếp sinh hoạt khoa học và tạo môi trường giáo dục thân thiện, lành mạnh. Việc chấp hành nội quy giúp trẻ hình thành những thói quen tốt ngay từ nhỏ, như tính kỷ luật, nề nếp, sự tự giác và tinh thần tập thể.</w:t>
      </w:r>
    </w:p>
    <w:p w14:paraId="5E429FD3" w14:textId="7C271442" w:rsidR="007A2663" w:rsidRPr="00ED5D7D" w:rsidRDefault="007A2663" w:rsidP="00651473">
      <w:pPr>
        <w:shd w:val="clear" w:color="auto" w:fill="FFFFFF"/>
        <w:spacing w:before="120" w:after="120" w:line="276" w:lineRule="auto"/>
        <w:ind w:firstLine="720"/>
        <w:rPr>
          <w:rFonts w:eastAsia="Times New Roman"/>
          <w:bCs/>
          <w:szCs w:val="28"/>
          <w:lang w:val="en-US" w:eastAsia="vi-VN"/>
        </w:rPr>
      </w:pPr>
      <w:r w:rsidRPr="00ED5D7D">
        <w:rPr>
          <w:rFonts w:eastAsia="Times New Roman"/>
          <w:bCs/>
          <w:szCs w:val="28"/>
          <w:lang w:val="en-US" w:eastAsia="vi-VN"/>
        </w:rPr>
        <w:t>Đối với trẻ, nội quy được thể hiện bằng những quy định đơn giản, dễ hiểu như: đi học đúng giờ, chào hỏi lễ phép, xếp hàng khi đến lớp, giữ gìn đồ dùng – đồ chơi, biết nghe lời cô giáo và tuân thủ các hoạt động trong ngày. Thông qua đó, trẻ dần học được cách sống có trật tự, biết tôn trọng bản thân và mọi người xung quanh.</w:t>
      </w:r>
    </w:p>
    <w:p w14:paraId="6B49E596" w14:textId="02411633" w:rsidR="007A2663" w:rsidRPr="00ED5D7D" w:rsidRDefault="007A2663" w:rsidP="00651473">
      <w:pPr>
        <w:shd w:val="clear" w:color="auto" w:fill="FFFFFF"/>
        <w:spacing w:before="120" w:after="120" w:line="276" w:lineRule="auto"/>
        <w:ind w:firstLine="720"/>
        <w:rPr>
          <w:rFonts w:eastAsia="Times New Roman"/>
          <w:bCs/>
          <w:szCs w:val="28"/>
          <w:lang w:val="en-US" w:eastAsia="vi-VN"/>
        </w:rPr>
      </w:pPr>
      <w:r w:rsidRPr="00ED5D7D">
        <w:rPr>
          <w:rFonts w:eastAsia="Times New Roman"/>
          <w:bCs/>
          <w:szCs w:val="28"/>
          <w:lang w:val="en-US" w:eastAsia="vi-VN"/>
        </w:rPr>
        <w:t>Đối với phụ huynh, việc thực hiện nghiêm túc nội quy của nhà trường như đưa đón trẻ đúng giờ, phối hợp trong chăm sóc – nuôi dưỡng – giáo dục trẻ, không tự ý đưa người lạ vào trường, chấp hành các quy định về an toàn, vệ sinh, phòng chống dịch bệnh… là yếu tố quan trọng góp phần tạo nên môi trường học tập an toàn, ổn định cho trẻ.</w:t>
      </w:r>
    </w:p>
    <w:p w14:paraId="5F5F72E1" w14:textId="15FD5D80" w:rsidR="007A2663" w:rsidRPr="00ED5D7D" w:rsidRDefault="007A2663" w:rsidP="00651473">
      <w:pPr>
        <w:shd w:val="clear" w:color="auto" w:fill="FFFFFF"/>
        <w:spacing w:before="120" w:after="120" w:line="276" w:lineRule="auto"/>
        <w:ind w:firstLine="720"/>
        <w:rPr>
          <w:rFonts w:eastAsia="Times New Roman"/>
          <w:b/>
          <w:szCs w:val="28"/>
          <w:lang w:val="en-US" w:eastAsia="vi-VN"/>
        </w:rPr>
      </w:pPr>
      <w:r w:rsidRPr="00ED5D7D">
        <w:rPr>
          <w:rFonts w:eastAsia="Times New Roman"/>
          <w:b/>
          <w:szCs w:val="28"/>
          <w:lang w:val="en-US" w:eastAsia="vi-VN"/>
        </w:rPr>
        <w:t>2. Nội dung giáo dục toàn diện trong nhà trường mầm non</w:t>
      </w:r>
    </w:p>
    <w:p w14:paraId="4BB10E4F" w14:textId="33F8A91B" w:rsidR="007A2663" w:rsidRPr="00ED5D7D" w:rsidRDefault="007A2663" w:rsidP="00651473">
      <w:pPr>
        <w:shd w:val="clear" w:color="auto" w:fill="FFFFFF"/>
        <w:spacing w:before="120" w:after="120" w:line="276" w:lineRule="auto"/>
        <w:ind w:firstLine="720"/>
        <w:rPr>
          <w:rFonts w:eastAsia="Times New Roman"/>
          <w:bCs/>
          <w:szCs w:val="28"/>
          <w:lang w:val="en-US" w:eastAsia="vi-VN"/>
        </w:rPr>
      </w:pPr>
      <w:r w:rsidRPr="00ED5D7D">
        <w:rPr>
          <w:rFonts w:eastAsia="Times New Roman"/>
          <w:bCs/>
          <w:szCs w:val="28"/>
          <w:lang w:val="en-US" w:eastAsia="vi-VN"/>
        </w:rPr>
        <w:t>Giáo dục mầm non hướng tới mục tiêu giúp trẻ phát triển toàn diện về thể chất, nhận thức, ngôn ngữ, tình cảm – xã hội và thẩm mỹ, thông qua các hoạt động phù hợp với lứa tuổi.</w:t>
      </w:r>
    </w:p>
    <w:p w14:paraId="2FA709D9" w14:textId="77777777" w:rsidR="00ED5D7D" w:rsidRDefault="007A2663" w:rsidP="00651473">
      <w:pPr>
        <w:shd w:val="clear" w:color="auto" w:fill="FFFFFF"/>
        <w:spacing w:before="120" w:after="120" w:line="276" w:lineRule="auto"/>
        <w:ind w:firstLine="720"/>
        <w:rPr>
          <w:rFonts w:eastAsia="Times New Roman"/>
          <w:bCs/>
          <w:szCs w:val="28"/>
          <w:lang w:val="en-US" w:eastAsia="vi-VN"/>
        </w:rPr>
      </w:pPr>
      <w:r w:rsidRPr="00ED5D7D">
        <w:rPr>
          <w:rFonts w:eastAsia="Times New Roman"/>
          <w:bCs/>
          <w:szCs w:val="28"/>
          <w:lang w:val="en-US" w:eastAsia="vi-VN"/>
        </w:rPr>
        <w:t>Trước hết, giáo dục thể chất được nhà trường đặc biệt chú trọng nhằm giúp trẻ có cơ thể khỏe mạnh, phát triển hài hòa. Trẻ được tham gia các hoạt động vận động, vui chơi ngoài trời, rèn luyện kỹ năng vận động cơ bản; đồng thời được chăm sóc tốt về dinh dưỡng, giấc ngủ và vệ sinh cá nhân.</w:t>
      </w:r>
    </w:p>
    <w:p w14:paraId="1BFB4231" w14:textId="3631A0F9" w:rsidR="007A2663" w:rsidRPr="00ED5D7D" w:rsidRDefault="007A2663" w:rsidP="00651473">
      <w:pPr>
        <w:shd w:val="clear" w:color="auto" w:fill="FFFFFF"/>
        <w:spacing w:before="120" w:after="120" w:line="276" w:lineRule="auto"/>
        <w:ind w:firstLine="720"/>
        <w:rPr>
          <w:rFonts w:eastAsia="Times New Roman"/>
          <w:bCs/>
          <w:szCs w:val="28"/>
          <w:lang w:val="en-US" w:eastAsia="vi-VN"/>
        </w:rPr>
      </w:pPr>
      <w:r>
        <w:lastRenderedPageBreak/>
        <w:t>Bên cạnh đó, giáo dục nhận thức giúp trẻ bước đầu khám phá thế giới xung quanh, làm quen với các khái niệm đơn giản về toán học, khoa học, môi trường, xã hội thông qua các hoạt động trải nghiệm, quan sát, chơi mà học, học bằng chơi.</w:t>
      </w:r>
    </w:p>
    <w:p w14:paraId="23BFA6E9" w14:textId="28F953D0" w:rsidR="007A2663" w:rsidRPr="00ED5D7D" w:rsidRDefault="007A2663" w:rsidP="00651473">
      <w:pPr>
        <w:spacing w:before="120" w:after="120" w:line="276" w:lineRule="auto"/>
        <w:ind w:firstLine="720"/>
        <w:rPr>
          <w:lang w:val="en-US"/>
        </w:rPr>
      </w:pPr>
      <w:r>
        <w:t>Giáo dục ngôn ngữ giúp trẻ phát triển khả năng nghe, nói, diễn đạt suy nghĩ, cảm xúc; hình thành thói quen giao tiếp lịch sự, lễ phép; tạo tiền đề vững chắc cho việc học đọc, học viết ở các bậc học tiếp theo.</w:t>
      </w:r>
    </w:p>
    <w:p w14:paraId="7A513F75" w14:textId="001126DC" w:rsidR="007A2663" w:rsidRPr="00ED5D7D" w:rsidRDefault="007A2663" w:rsidP="00651473">
      <w:pPr>
        <w:spacing w:before="120" w:after="120" w:line="276" w:lineRule="auto"/>
        <w:ind w:firstLine="720"/>
        <w:rPr>
          <w:lang w:val="en-US"/>
        </w:rPr>
      </w:pPr>
      <w:r>
        <w:t>Giáo dục tình cảm – kỹ năng xã hội đóng vai trò quan trọng trong việc hình thành nhân cách trẻ. Trẻ được dạy biết yêu thương, chia sẻ, giúp đỡ bạn bè, kính trọng người lớn; biết hợp tác, chờ đợi, tuân thủ quy tắc chung và bước đầu hình thành các kỹ năng sống cần thiết.</w:t>
      </w:r>
    </w:p>
    <w:p w14:paraId="0515C0FC" w14:textId="2D0C86A9" w:rsidR="007A2663" w:rsidRPr="00ED5D7D" w:rsidRDefault="007A2663" w:rsidP="00651473">
      <w:pPr>
        <w:spacing w:before="120" w:after="120" w:line="276" w:lineRule="auto"/>
        <w:ind w:firstLine="720"/>
        <w:rPr>
          <w:lang w:val="en-US"/>
        </w:rPr>
      </w:pPr>
      <w:r>
        <w:t>Ngoài ra, giáo dục thẩm mỹ giúp trẻ cảm nhận và thể hiện cái đẹp thông qua âm nhạc, tạo hình, múa hát, góp phần nuôi dưỡng tâm hồn trong sáng, giàu cảm xúc và sáng tạo.</w:t>
      </w:r>
    </w:p>
    <w:p w14:paraId="487BC05C" w14:textId="5496D8D6" w:rsidR="007A2663" w:rsidRPr="00ED5D7D" w:rsidRDefault="007A2663" w:rsidP="00651473">
      <w:pPr>
        <w:spacing w:before="120" w:after="120" w:line="276" w:lineRule="auto"/>
        <w:ind w:firstLine="720"/>
        <w:rPr>
          <w:b/>
          <w:bCs/>
          <w:lang w:val="en-US"/>
        </w:rPr>
      </w:pPr>
      <w:r w:rsidRPr="00ED5D7D">
        <w:rPr>
          <w:b/>
          <w:bCs/>
        </w:rPr>
        <w:t>3. Phối hợp giữa nhà trường và gia đình trong giáo dục trẻ</w:t>
      </w:r>
    </w:p>
    <w:p w14:paraId="6BBACBB6" w14:textId="3A09703F" w:rsidR="007A2663" w:rsidRPr="00ED5D7D" w:rsidRDefault="007A2663" w:rsidP="00651473">
      <w:pPr>
        <w:spacing w:before="120" w:after="120" w:line="276" w:lineRule="auto"/>
        <w:ind w:firstLine="720"/>
        <w:rPr>
          <w:lang w:val="en-US"/>
        </w:rPr>
      </w:pPr>
      <w:r>
        <w:t>Giáo dục mầm non chỉ đạt hiệu quả cao khi có sự phối hợp đồng bộ giữa nhà trường – gia đình – xã hội. Nhà trường mong muốn các bậc phụ huynh luôn tin tưởng, đồng hành, thường xuyên trao đổi với giáo viên về tình hình học tập, sinh hoạt, sức khỏe và tâm lý của trẻ; đồng thời tạo điều kiện để trẻ thực hiện tốt các nề nếp, thói quen đã được rèn luyện ở trường ngay tại gia đình.</w:t>
      </w:r>
    </w:p>
    <w:p w14:paraId="62CFAD54" w14:textId="1723E6F3" w:rsidR="007A2663" w:rsidRPr="00ED5D7D" w:rsidRDefault="007A2663" w:rsidP="00651473">
      <w:pPr>
        <w:spacing w:before="120" w:after="120" w:line="276" w:lineRule="auto"/>
        <w:ind w:firstLine="720"/>
        <w:rPr>
          <w:lang w:val="en-US"/>
        </w:rPr>
      </w:pPr>
      <w:r>
        <w:t>Sự thống nhất trong cách chăm sóc và giáo dục sẽ giúp trẻ phát triển ổn định, tự tin, vui vẻ khi đến trường mỗi ngày.</w:t>
      </w:r>
    </w:p>
    <w:p w14:paraId="37CDD68E" w14:textId="575FA562" w:rsidR="007A2663" w:rsidRPr="00ED5D7D" w:rsidRDefault="007A2663" w:rsidP="00651473">
      <w:pPr>
        <w:spacing w:before="120" w:after="120" w:line="276" w:lineRule="auto"/>
        <w:ind w:firstLine="720"/>
        <w:rPr>
          <w:b/>
          <w:bCs/>
          <w:lang w:val="en-US"/>
        </w:rPr>
      </w:pPr>
      <w:r w:rsidRPr="00ED5D7D">
        <w:rPr>
          <w:b/>
          <w:bCs/>
        </w:rPr>
        <w:t>4. Chung tay xây dựng môi trường mầm non an toàn, hạnh phúc</w:t>
      </w:r>
    </w:p>
    <w:p w14:paraId="77B0F987" w14:textId="0B5887C8" w:rsidR="007A2663" w:rsidRPr="00ED5D7D" w:rsidRDefault="007A2663" w:rsidP="00651473">
      <w:pPr>
        <w:spacing w:before="120" w:after="120" w:line="276" w:lineRule="auto"/>
        <w:ind w:firstLine="720"/>
        <w:rPr>
          <w:lang w:val="en-US"/>
        </w:rPr>
      </w:pPr>
      <w:r>
        <w:t>Mỗi cán bộ, giáo viên mầm non luôn nêu cao tinh thần trách nhiệm, yêu nghề, mến trẻ; thực hiện đúng quy định, chuẩn mực đạo đức nhà giáo; tận tâm chăm sóc và giáo dục trẻ bằng cả tình yêu thương. Mỗi phụ huynh hãy là người bạn đồng hành tích cực, cùng nhà trường xây dựng môi trường giáo dục an toàn – thân thiện – hạnh phúc.</w:t>
      </w:r>
    </w:p>
    <w:p w14:paraId="2A1F484B" w14:textId="5B61A35B" w:rsidR="007F7997" w:rsidRDefault="007A2663" w:rsidP="00651473">
      <w:pPr>
        <w:spacing w:before="120" w:after="120" w:line="276" w:lineRule="auto"/>
        <w:ind w:firstLine="720"/>
        <w:rPr>
          <w:lang w:val="en-US"/>
        </w:rPr>
      </w:pPr>
      <w:r>
        <w:t>Thực hiện tốt nội quy và nội dung giáo dục trong nhà trường mầm non chính là cách chúng ta chung tay gieo những hạt mầm đầu tiên cho tương lai của trẻ – những công dân khỏe mạnh, tự tin và nhân ái.</w:t>
      </w:r>
    </w:p>
    <w:tbl>
      <w:tblPr>
        <w:tblW w:w="0" w:type="auto"/>
        <w:tblLook w:val="04A0" w:firstRow="1" w:lastRow="0" w:firstColumn="1" w:lastColumn="0" w:noHBand="0" w:noVBand="1"/>
      </w:tblPr>
      <w:tblGrid>
        <w:gridCol w:w="3828"/>
        <w:gridCol w:w="5175"/>
      </w:tblGrid>
      <w:tr w:rsidR="008C387C" w:rsidRPr="008C387C" w14:paraId="3E289D59" w14:textId="77777777" w:rsidTr="00651473">
        <w:trPr>
          <w:trHeight w:val="1645"/>
        </w:trPr>
        <w:tc>
          <w:tcPr>
            <w:tcW w:w="3828" w:type="dxa"/>
          </w:tcPr>
          <w:p w14:paraId="36E5A074" w14:textId="6541A0DE" w:rsidR="008C387C" w:rsidRPr="008C387C" w:rsidRDefault="008C387C" w:rsidP="008C387C">
            <w:pPr>
              <w:spacing w:after="0" w:line="240" w:lineRule="auto"/>
              <w:jc w:val="left"/>
              <w:rPr>
                <w:rFonts w:eastAsia="Arial" w:cs="Times New Roman"/>
                <w:kern w:val="0"/>
                <w:szCs w:val="28"/>
                <w14:ligatures w14:val="none"/>
              </w:rPr>
            </w:pPr>
          </w:p>
        </w:tc>
        <w:tc>
          <w:tcPr>
            <w:tcW w:w="5175" w:type="dxa"/>
          </w:tcPr>
          <w:p w14:paraId="74D583A7" w14:textId="010CDB31" w:rsidR="008C387C" w:rsidRPr="008C387C" w:rsidRDefault="008C387C" w:rsidP="008C387C">
            <w:pPr>
              <w:spacing w:after="0" w:line="240" w:lineRule="auto"/>
              <w:jc w:val="center"/>
              <w:rPr>
                <w:rFonts w:eastAsia="Arial" w:cs="Times New Roman"/>
                <w:b/>
                <w:kern w:val="0"/>
                <w:szCs w:val="28"/>
                <w:lang w:val="en-US"/>
                <w14:ligatures w14:val="none"/>
              </w:rPr>
            </w:pPr>
          </w:p>
        </w:tc>
      </w:tr>
    </w:tbl>
    <w:p w14:paraId="2EBE57F1" w14:textId="62CEE9A1" w:rsidR="008C387C" w:rsidRPr="008C387C" w:rsidRDefault="008C387C" w:rsidP="008C387C">
      <w:pPr>
        <w:spacing w:line="240" w:lineRule="auto"/>
        <w:ind w:firstLine="720"/>
        <w:rPr>
          <w:lang w:val="en-US"/>
        </w:rPr>
      </w:pPr>
    </w:p>
    <w:sectPr w:rsidR="008C387C" w:rsidRPr="008C387C" w:rsidSect="0065147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D"/>
    <w:rsid w:val="000B452F"/>
    <w:rsid w:val="001D2188"/>
    <w:rsid w:val="00201930"/>
    <w:rsid w:val="002565BD"/>
    <w:rsid w:val="003C437D"/>
    <w:rsid w:val="006168DF"/>
    <w:rsid w:val="00651473"/>
    <w:rsid w:val="007A2663"/>
    <w:rsid w:val="007F7997"/>
    <w:rsid w:val="008C387C"/>
    <w:rsid w:val="009858A5"/>
    <w:rsid w:val="009C6D3E"/>
    <w:rsid w:val="00AB0C5D"/>
    <w:rsid w:val="00AD311D"/>
    <w:rsid w:val="00ED5D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1DC9"/>
  <w15:chartTrackingRefBased/>
  <w15:docId w15:val="{04661DD2-F6A1-4B80-AD39-A5895828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5B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65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65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65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65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65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65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5B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565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65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65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65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65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65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5B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65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65BD"/>
    <w:pPr>
      <w:spacing w:before="160"/>
      <w:jc w:val="center"/>
    </w:pPr>
    <w:rPr>
      <w:i/>
      <w:iCs/>
      <w:color w:val="404040" w:themeColor="text1" w:themeTint="BF"/>
    </w:rPr>
  </w:style>
  <w:style w:type="character" w:customStyle="1" w:styleId="QuoteChar">
    <w:name w:val="Quote Char"/>
    <w:basedOn w:val="DefaultParagraphFont"/>
    <w:link w:val="Quote"/>
    <w:uiPriority w:val="29"/>
    <w:rsid w:val="002565BD"/>
    <w:rPr>
      <w:i/>
      <w:iCs/>
      <w:color w:val="404040" w:themeColor="text1" w:themeTint="BF"/>
    </w:rPr>
  </w:style>
  <w:style w:type="paragraph" w:styleId="ListParagraph">
    <w:name w:val="List Paragraph"/>
    <w:basedOn w:val="Normal"/>
    <w:uiPriority w:val="34"/>
    <w:qFormat/>
    <w:rsid w:val="002565BD"/>
    <w:pPr>
      <w:ind w:left="720"/>
      <w:contextualSpacing/>
    </w:pPr>
  </w:style>
  <w:style w:type="character" w:styleId="IntenseEmphasis">
    <w:name w:val="Intense Emphasis"/>
    <w:basedOn w:val="DefaultParagraphFont"/>
    <w:uiPriority w:val="21"/>
    <w:qFormat/>
    <w:rsid w:val="002565BD"/>
    <w:rPr>
      <w:i/>
      <w:iCs/>
      <w:color w:val="2F5496" w:themeColor="accent1" w:themeShade="BF"/>
    </w:rPr>
  </w:style>
  <w:style w:type="paragraph" w:styleId="IntenseQuote">
    <w:name w:val="Intense Quote"/>
    <w:basedOn w:val="Normal"/>
    <w:next w:val="Normal"/>
    <w:link w:val="IntenseQuoteChar"/>
    <w:uiPriority w:val="30"/>
    <w:qFormat/>
    <w:rsid w:val="00256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5BD"/>
    <w:rPr>
      <w:i/>
      <w:iCs/>
      <w:color w:val="2F5496" w:themeColor="accent1" w:themeShade="BF"/>
    </w:rPr>
  </w:style>
  <w:style w:type="character" w:styleId="IntenseReference">
    <w:name w:val="Intense Reference"/>
    <w:basedOn w:val="DefaultParagraphFont"/>
    <w:uiPriority w:val="32"/>
    <w:qFormat/>
    <w:rsid w:val="00256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5BDB-BE6B-4CCD-97B7-26A10FA6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TANPHAT</cp:lastModifiedBy>
  <cp:revision>5</cp:revision>
  <dcterms:created xsi:type="dcterms:W3CDTF">2026-01-10T13:27:00Z</dcterms:created>
  <dcterms:modified xsi:type="dcterms:W3CDTF">2026-04-02T08:40:00Z</dcterms:modified>
</cp:coreProperties>
</file>